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4459" w14:textId="27EB7431" w:rsidR="00E72C7A" w:rsidRPr="005757BE" w:rsidRDefault="00E72C7A" w:rsidP="00E72C7A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757BE">
        <w:rPr>
          <w:b/>
          <w:bCs/>
          <w:sz w:val="32"/>
          <w:szCs w:val="32"/>
        </w:rPr>
        <w:t xml:space="preserve">Synthèse des règles de </w:t>
      </w:r>
      <w:proofErr w:type="spellStart"/>
      <w:r w:rsidRPr="005757BE">
        <w:rPr>
          <w:b/>
          <w:bCs/>
          <w:sz w:val="32"/>
          <w:szCs w:val="32"/>
        </w:rPr>
        <w:t>testing</w:t>
      </w:r>
      <w:proofErr w:type="spellEnd"/>
      <w:r w:rsidRPr="005757BE">
        <w:rPr>
          <w:b/>
          <w:bCs/>
          <w:sz w:val="32"/>
          <w:szCs w:val="32"/>
        </w:rPr>
        <w:t>, quarantaine et isolement d’application au 10 janvier 2022</w:t>
      </w:r>
      <w:r w:rsidR="00087D5C">
        <w:rPr>
          <w:b/>
          <w:bCs/>
          <w:sz w:val="32"/>
          <w:szCs w:val="32"/>
        </w:rPr>
        <w:br/>
      </w:r>
      <w:r w:rsidR="00087D5C" w:rsidRPr="0053138D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>Source : site</w:t>
      </w:r>
      <w:r w:rsidR="00114267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 xml:space="preserve"> web</w:t>
      </w:r>
      <w:r w:rsidR="00087D5C" w:rsidRPr="0053138D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 xml:space="preserve"> SPF Santé Publique</w:t>
      </w:r>
      <w:r w:rsidR="00114267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 xml:space="preserve"> (</w:t>
      </w:r>
      <w:hyperlink r:id="rId8" w:history="1">
        <w:r w:rsidR="00114267" w:rsidRPr="00D0727D">
          <w:rPr>
            <w:rStyle w:val="Lienhypertexte"/>
            <w:rFonts w:ascii="Helvetica" w:eastAsia="Times New Roman" w:hAnsi="Helvetica" w:cs="Helvetica"/>
            <w:i/>
            <w:iCs/>
            <w:sz w:val="20"/>
            <w:szCs w:val="20"/>
            <w:lang w:eastAsia="fr-BE"/>
          </w:rPr>
          <w:t>https://www.health.belgium.be/fr/news/cim-sante-publique-22</w:t>
        </w:r>
      </w:hyperlink>
      <w:r w:rsidR="00114267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>)</w:t>
      </w:r>
      <w:r w:rsidR="00087D5C" w:rsidRPr="0053138D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>, consulté le 7/1/2022</w:t>
      </w:r>
      <w:r w:rsidR="00114267">
        <w:rPr>
          <w:rFonts w:ascii="Helvetica" w:eastAsia="Times New Roman" w:hAnsi="Helvetica" w:cs="Helvetica"/>
          <w:i/>
          <w:iCs/>
          <w:color w:val="413D3D"/>
          <w:sz w:val="20"/>
          <w:szCs w:val="20"/>
          <w:lang w:eastAsia="fr-B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773"/>
        <w:gridCol w:w="3638"/>
        <w:gridCol w:w="3638"/>
        <w:gridCol w:w="3638"/>
      </w:tblGrid>
      <w:tr w:rsidR="00757EAA" w:rsidRPr="00757EAA" w14:paraId="662BCDFB" w14:textId="77777777" w:rsidTr="00021A6E">
        <w:tc>
          <w:tcPr>
            <w:tcW w:w="4390" w:type="dxa"/>
            <w:gridSpan w:val="2"/>
          </w:tcPr>
          <w:p w14:paraId="43CE984D" w14:textId="77777777" w:rsidR="00757EAA" w:rsidRPr="00757EAA" w:rsidRDefault="00757EAA" w:rsidP="00757EAA">
            <w:pPr>
              <w:jc w:val="center"/>
              <w:rPr>
                <w:b/>
                <w:bCs/>
              </w:rPr>
            </w:pPr>
          </w:p>
        </w:tc>
        <w:tc>
          <w:tcPr>
            <w:tcW w:w="3638" w:type="dxa"/>
            <w:shd w:val="clear" w:color="auto" w:fill="92D050"/>
          </w:tcPr>
          <w:p w14:paraId="67B5A46D" w14:textId="388A3578" w:rsidR="00757EAA" w:rsidRPr="00757EAA" w:rsidRDefault="00757EAA" w:rsidP="00757EAA">
            <w:pPr>
              <w:jc w:val="center"/>
              <w:rPr>
                <w:b/>
                <w:bCs/>
              </w:rPr>
            </w:pPr>
            <w:r w:rsidRPr="00757EAA">
              <w:rPr>
                <w:b/>
                <w:bCs/>
              </w:rPr>
              <w:t>Entièrement vacciné</w:t>
            </w:r>
            <w:r w:rsidR="00EE0D45">
              <w:rPr>
                <w:b/>
                <w:bCs/>
              </w:rPr>
              <w:t>e</w:t>
            </w:r>
          </w:p>
        </w:tc>
        <w:tc>
          <w:tcPr>
            <w:tcW w:w="3638" w:type="dxa"/>
            <w:shd w:val="clear" w:color="auto" w:fill="FFC000"/>
          </w:tcPr>
          <w:p w14:paraId="3E71DD5D" w14:textId="29320ABF" w:rsidR="00757EAA" w:rsidRPr="00757EAA" w:rsidRDefault="00757EAA" w:rsidP="00757EAA">
            <w:pPr>
              <w:jc w:val="center"/>
              <w:rPr>
                <w:b/>
                <w:bCs/>
              </w:rPr>
            </w:pPr>
            <w:r w:rsidRPr="00757EAA">
              <w:rPr>
                <w:b/>
                <w:bCs/>
              </w:rPr>
              <w:t>Partiellement vacciné</w:t>
            </w:r>
            <w:r w:rsidR="00EE0D45">
              <w:rPr>
                <w:b/>
                <w:bCs/>
              </w:rPr>
              <w:t>e</w:t>
            </w:r>
          </w:p>
        </w:tc>
        <w:tc>
          <w:tcPr>
            <w:tcW w:w="3638" w:type="dxa"/>
          </w:tcPr>
          <w:p w14:paraId="3146049D" w14:textId="7FD3062B" w:rsidR="00757EAA" w:rsidRPr="00757EAA" w:rsidRDefault="00757EAA" w:rsidP="00757EAA">
            <w:pPr>
              <w:jc w:val="center"/>
              <w:rPr>
                <w:b/>
                <w:bCs/>
              </w:rPr>
            </w:pPr>
            <w:r w:rsidRPr="00757EAA">
              <w:rPr>
                <w:b/>
                <w:bCs/>
              </w:rPr>
              <w:t>Non-vacciné</w:t>
            </w:r>
            <w:r w:rsidR="00EE0D45">
              <w:rPr>
                <w:b/>
                <w:bCs/>
              </w:rPr>
              <w:t>e</w:t>
            </w:r>
          </w:p>
        </w:tc>
      </w:tr>
      <w:tr w:rsidR="00CA493E" w:rsidRPr="00757EAA" w14:paraId="6557D320" w14:textId="77777777" w:rsidTr="00021A6E">
        <w:tc>
          <w:tcPr>
            <w:tcW w:w="4390" w:type="dxa"/>
            <w:gridSpan w:val="2"/>
          </w:tcPr>
          <w:p w14:paraId="489C7660" w14:textId="77777777" w:rsidR="00CA493E" w:rsidRPr="00757EAA" w:rsidRDefault="00CA493E" w:rsidP="00757EAA">
            <w:pPr>
              <w:jc w:val="center"/>
              <w:rPr>
                <w:b/>
                <w:bCs/>
              </w:rPr>
            </w:pPr>
          </w:p>
        </w:tc>
        <w:tc>
          <w:tcPr>
            <w:tcW w:w="3638" w:type="dxa"/>
            <w:shd w:val="clear" w:color="auto" w:fill="92D050"/>
          </w:tcPr>
          <w:p w14:paraId="5B73D580" w14:textId="4A2FBB7B" w:rsidR="00CA493E" w:rsidRPr="00713CFA" w:rsidRDefault="00CA493E" w:rsidP="00CA493E">
            <w:pPr>
              <w:rPr>
                <w:sz w:val="20"/>
                <w:szCs w:val="20"/>
              </w:rPr>
            </w:pPr>
            <w:r w:rsidRPr="00713CFA">
              <w:rPr>
                <w:sz w:val="20"/>
                <w:szCs w:val="20"/>
              </w:rPr>
              <w:t>Personne</w:t>
            </w:r>
            <w:r w:rsidR="00B87AB9">
              <w:rPr>
                <w:sz w:val="20"/>
                <w:szCs w:val="20"/>
              </w:rPr>
              <w:t xml:space="preserve"> de 18 ans ou plus</w:t>
            </w:r>
            <w:r w:rsidRPr="00713CFA">
              <w:rPr>
                <w:sz w:val="20"/>
                <w:szCs w:val="20"/>
              </w:rPr>
              <w:t> :</w:t>
            </w:r>
          </w:p>
          <w:p w14:paraId="3AAA7114" w14:textId="77777777" w:rsidR="00CA493E" w:rsidRPr="00713CFA" w:rsidRDefault="00CA493E" w:rsidP="00713CFA">
            <w:pPr>
              <w:pStyle w:val="Paragraphedeliste"/>
              <w:numPr>
                <w:ilvl w:val="0"/>
                <w:numId w:val="2"/>
              </w:numPr>
              <w:ind w:left="322" w:hanging="283"/>
              <w:rPr>
                <w:sz w:val="20"/>
                <w:szCs w:val="20"/>
              </w:rPr>
            </w:pPr>
            <w:proofErr w:type="gramStart"/>
            <w:r w:rsidRPr="00713CFA">
              <w:rPr>
                <w:sz w:val="20"/>
                <w:szCs w:val="20"/>
              </w:rPr>
              <w:t>ayant</w:t>
            </w:r>
            <w:proofErr w:type="gramEnd"/>
            <w:r w:rsidRPr="00713CFA">
              <w:rPr>
                <w:sz w:val="20"/>
                <w:szCs w:val="20"/>
              </w:rPr>
              <w:t xml:space="preserve"> reçu son vaccin booster, ou</w:t>
            </w:r>
          </w:p>
          <w:p w14:paraId="11ABDA3D" w14:textId="77777777" w:rsidR="00CA493E" w:rsidRPr="00713CFA" w:rsidRDefault="00CA493E" w:rsidP="00713CFA">
            <w:pPr>
              <w:pStyle w:val="Paragraphedeliste"/>
              <w:numPr>
                <w:ilvl w:val="0"/>
                <w:numId w:val="2"/>
              </w:numPr>
              <w:ind w:left="322" w:hanging="283"/>
              <w:rPr>
                <w:sz w:val="20"/>
                <w:szCs w:val="20"/>
              </w:rPr>
            </w:pPr>
            <w:proofErr w:type="gramStart"/>
            <w:r w:rsidRPr="00713CFA">
              <w:rPr>
                <w:sz w:val="20"/>
                <w:szCs w:val="20"/>
              </w:rPr>
              <w:t>qui</w:t>
            </w:r>
            <w:proofErr w:type="gramEnd"/>
            <w:r w:rsidRPr="00713CFA">
              <w:rPr>
                <w:sz w:val="20"/>
                <w:szCs w:val="20"/>
              </w:rPr>
              <w:t xml:space="preserve"> a reçu la dernière dose de sa vaccination de base depuis pas plus de 5 mois, ou</w:t>
            </w:r>
          </w:p>
          <w:p w14:paraId="1706A465" w14:textId="2BC93C82" w:rsidR="00CA493E" w:rsidRPr="00713CFA" w:rsidRDefault="00CA493E" w:rsidP="00713CFA">
            <w:pPr>
              <w:pStyle w:val="Paragraphedeliste"/>
              <w:numPr>
                <w:ilvl w:val="0"/>
                <w:numId w:val="2"/>
              </w:numPr>
              <w:ind w:left="322" w:hanging="283"/>
              <w:rPr>
                <w:sz w:val="20"/>
                <w:szCs w:val="20"/>
              </w:rPr>
            </w:pPr>
            <w:proofErr w:type="gramStart"/>
            <w:r w:rsidRPr="00713CFA">
              <w:rPr>
                <w:sz w:val="20"/>
                <w:szCs w:val="20"/>
              </w:rPr>
              <w:t>qui</w:t>
            </w:r>
            <w:proofErr w:type="gramEnd"/>
            <w:r w:rsidRPr="00713CFA">
              <w:rPr>
                <w:sz w:val="20"/>
                <w:szCs w:val="20"/>
              </w:rPr>
              <w:t xml:space="preserve"> dispose d’un certificat de rétablissement depuis pas plus de 5 mois</w:t>
            </w:r>
          </w:p>
          <w:p w14:paraId="3576244E" w14:textId="2BA1559A" w:rsidR="00CA493E" w:rsidRPr="00B87AB9" w:rsidRDefault="00B87AB9" w:rsidP="00B87AB9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 </w:t>
            </w:r>
            <w:r w:rsidR="00CA493E" w:rsidRPr="00B87AB9">
              <w:rPr>
                <w:sz w:val="20"/>
                <w:szCs w:val="20"/>
              </w:rPr>
              <w:t>de 12 à 17 ans, qui a reçu une vaccination de base</w:t>
            </w:r>
            <w:r w:rsidR="00713CFA" w:rsidRPr="00B87AB9">
              <w:rPr>
                <w:sz w:val="20"/>
                <w:szCs w:val="20"/>
              </w:rPr>
              <w:t xml:space="preserve"> (</w:t>
            </w:r>
            <w:r w:rsidR="00CA493E" w:rsidRPr="00B87AB9">
              <w:rPr>
                <w:sz w:val="20"/>
                <w:szCs w:val="20"/>
              </w:rPr>
              <w:t>quelle que soit la date</w:t>
            </w:r>
            <w:r w:rsidR="00713CFA" w:rsidRPr="00B87AB9">
              <w:rPr>
                <w:sz w:val="20"/>
                <w:szCs w:val="20"/>
              </w:rPr>
              <w:t xml:space="preserve"> de vaccination).</w:t>
            </w:r>
          </w:p>
        </w:tc>
        <w:tc>
          <w:tcPr>
            <w:tcW w:w="3638" w:type="dxa"/>
            <w:shd w:val="clear" w:color="auto" w:fill="FFC000"/>
          </w:tcPr>
          <w:p w14:paraId="2C183BEF" w14:textId="6880527A" w:rsidR="002B19F1" w:rsidRPr="002B19F1" w:rsidRDefault="002B19F1" w:rsidP="002B19F1">
            <w:pPr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</w:pPr>
            <w:r w:rsidRPr="002B19F1"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>Personne</w:t>
            </w:r>
            <w:r w:rsidR="00B87AB9"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 xml:space="preserve"> de 18 ans ou plus</w:t>
            </w:r>
            <w:r w:rsidRPr="002B19F1"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> :</w:t>
            </w:r>
          </w:p>
          <w:p w14:paraId="105B9F9A" w14:textId="7192E67E" w:rsidR="00CA493E" w:rsidRPr="002B19F1" w:rsidRDefault="002B19F1" w:rsidP="002B19F1">
            <w:pPr>
              <w:pStyle w:val="Paragraphedeliste"/>
              <w:numPr>
                <w:ilvl w:val="0"/>
                <w:numId w:val="2"/>
              </w:numPr>
              <w:ind w:left="320" w:hanging="283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2B19F1"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>ayant</w:t>
            </w:r>
            <w:proofErr w:type="gramEnd"/>
            <w:r w:rsidRPr="002B19F1"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 xml:space="preserve"> reçu la dernière dose de sa primo-vaccination il y a plus de 5 mois et qui n’a pas encore reçu sa vaccination de rappel.</w:t>
            </w:r>
          </w:p>
        </w:tc>
        <w:tc>
          <w:tcPr>
            <w:tcW w:w="3638" w:type="dxa"/>
          </w:tcPr>
          <w:p w14:paraId="26069390" w14:textId="18293093" w:rsidR="00CA493E" w:rsidRPr="00EE0D45" w:rsidRDefault="00EE0D45" w:rsidP="00EE0D45">
            <w:pPr>
              <w:rPr>
                <w:sz w:val="20"/>
                <w:szCs w:val="20"/>
              </w:rPr>
            </w:pPr>
            <w:r w:rsidRPr="00EE0D45">
              <w:rPr>
                <w:sz w:val="20"/>
                <w:szCs w:val="20"/>
              </w:rPr>
              <w:t>Personne ne correspondant pas aux autres catégories</w:t>
            </w:r>
          </w:p>
        </w:tc>
      </w:tr>
      <w:tr w:rsidR="0094172B" w:rsidRPr="0094172B" w14:paraId="757D7F76" w14:textId="77777777" w:rsidTr="00021A6E">
        <w:tc>
          <w:tcPr>
            <w:tcW w:w="4390" w:type="dxa"/>
            <w:gridSpan w:val="2"/>
            <w:shd w:val="clear" w:color="auto" w:fill="000000" w:themeFill="text1"/>
          </w:tcPr>
          <w:p w14:paraId="231ABAB5" w14:textId="5B23BFFC" w:rsidR="0094172B" w:rsidRPr="0094172B" w:rsidRDefault="0094172B" w:rsidP="0094172B">
            <w:pPr>
              <w:rPr>
                <w:b/>
                <w:bCs/>
              </w:rPr>
            </w:pPr>
            <w:r w:rsidRPr="0094172B">
              <w:rPr>
                <w:b/>
                <w:bCs/>
              </w:rPr>
              <w:t>Tests</w:t>
            </w:r>
          </w:p>
        </w:tc>
        <w:tc>
          <w:tcPr>
            <w:tcW w:w="10914" w:type="dxa"/>
            <w:gridSpan w:val="3"/>
            <w:shd w:val="clear" w:color="auto" w:fill="000000" w:themeFill="text1"/>
          </w:tcPr>
          <w:p w14:paraId="537974AA" w14:textId="77777777" w:rsidR="0094172B" w:rsidRPr="0094172B" w:rsidRDefault="0094172B" w:rsidP="0094172B">
            <w:pPr>
              <w:jc w:val="center"/>
              <w:rPr>
                <w:b/>
                <w:bCs/>
              </w:rPr>
            </w:pPr>
          </w:p>
        </w:tc>
      </w:tr>
      <w:tr w:rsidR="0094172B" w14:paraId="2FC47CFD" w14:textId="77777777" w:rsidTr="00021A6E">
        <w:tc>
          <w:tcPr>
            <w:tcW w:w="4390" w:type="dxa"/>
            <w:gridSpan w:val="2"/>
          </w:tcPr>
          <w:p w14:paraId="3989F2F2" w14:textId="319DCDAF" w:rsidR="0094172B" w:rsidRDefault="0094172B" w:rsidP="00DF0119">
            <w:pPr>
              <w:pStyle w:val="Paragraphedeliste"/>
              <w:numPr>
                <w:ilvl w:val="0"/>
                <w:numId w:val="8"/>
              </w:numPr>
              <w:ind w:left="308" w:hanging="308"/>
            </w:pPr>
            <w:r>
              <w:t>Lieu de travail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56F5D3A0" w14:textId="1A5E6A09" w:rsidR="0094172B" w:rsidRDefault="0094172B" w:rsidP="00CE5236">
            <w:r>
              <w:t>Plus de test</w:t>
            </w:r>
          </w:p>
        </w:tc>
      </w:tr>
      <w:tr w:rsidR="0094172B" w14:paraId="4E3A3E25" w14:textId="77777777" w:rsidTr="00021A6E">
        <w:tc>
          <w:tcPr>
            <w:tcW w:w="2689" w:type="dxa"/>
            <w:vMerge w:val="restart"/>
          </w:tcPr>
          <w:p w14:paraId="1FFBC3EA" w14:textId="2CF390D1" w:rsidR="0094172B" w:rsidRDefault="0094172B" w:rsidP="00DF0119">
            <w:pPr>
              <w:pStyle w:val="Paragraphedeliste"/>
              <w:numPr>
                <w:ilvl w:val="0"/>
                <w:numId w:val="7"/>
              </w:numPr>
              <w:ind w:left="308" w:hanging="308"/>
            </w:pPr>
            <w:r>
              <w:t>Contacts à haut risque</w:t>
            </w:r>
            <w:r w:rsidR="0046228B">
              <w:rPr>
                <w:rStyle w:val="Appelnotedebasdep"/>
              </w:rPr>
              <w:footnoteReference w:id="1"/>
            </w:r>
          </w:p>
        </w:tc>
        <w:tc>
          <w:tcPr>
            <w:tcW w:w="1701" w:type="dxa"/>
          </w:tcPr>
          <w:p w14:paraId="1B815A3D" w14:textId="25DBB9A7" w:rsidR="0094172B" w:rsidRDefault="0094172B" w:rsidP="0094172B">
            <w:pPr>
              <w:ind w:left="308" w:hanging="308"/>
            </w:pPr>
            <w:proofErr w:type="gramStart"/>
            <w:r w:rsidRPr="00757EAA">
              <w:rPr>
                <w:b/>
                <w:bCs/>
              </w:rPr>
              <w:t>asymptomatique</w:t>
            </w:r>
            <w:proofErr w:type="gramEnd"/>
          </w:p>
        </w:tc>
        <w:tc>
          <w:tcPr>
            <w:tcW w:w="10914" w:type="dxa"/>
            <w:gridSpan w:val="3"/>
            <w:shd w:val="clear" w:color="auto" w:fill="auto"/>
          </w:tcPr>
          <w:p w14:paraId="628CCA50" w14:textId="6594E0CF" w:rsidR="0094172B" w:rsidRDefault="0094172B" w:rsidP="00CE5236">
            <w:r>
              <w:t>Pas de test (excepté autotests)</w:t>
            </w:r>
          </w:p>
        </w:tc>
      </w:tr>
      <w:tr w:rsidR="00CE5236" w14:paraId="2B049263" w14:textId="77777777" w:rsidTr="00021A6E">
        <w:tc>
          <w:tcPr>
            <w:tcW w:w="2689" w:type="dxa"/>
            <w:vMerge/>
          </w:tcPr>
          <w:p w14:paraId="2B6EFE8A" w14:textId="796DFCDA" w:rsidR="00CE5236" w:rsidRDefault="00CE5236"/>
        </w:tc>
        <w:tc>
          <w:tcPr>
            <w:tcW w:w="1701" w:type="dxa"/>
          </w:tcPr>
          <w:p w14:paraId="0B92120E" w14:textId="03E132B6" w:rsidR="00CE5236" w:rsidRDefault="00CE5236">
            <w:proofErr w:type="gramStart"/>
            <w:r w:rsidRPr="00757EAA">
              <w:rPr>
                <w:b/>
                <w:bCs/>
              </w:rPr>
              <w:t>symptomatiques</w:t>
            </w:r>
            <w:proofErr w:type="gramEnd"/>
          </w:p>
        </w:tc>
        <w:tc>
          <w:tcPr>
            <w:tcW w:w="10914" w:type="dxa"/>
            <w:gridSpan w:val="3"/>
            <w:shd w:val="clear" w:color="auto" w:fill="auto"/>
          </w:tcPr>
          <w:p w14:paraId="731C981D" w14:textId="00E5AE6B" w:rsidR="00CE5236" w:rsidRDefault="00CE5236" w:rsidP="00CE5236">
            <w:r>
              <w:t xml:space="preserve">Test </w:t>
            </w:r>
            <w:r w:rsidR="00095313">
              <w:t>dès que possible excepté les enfants de moins de 6 ans</w:t>
            </w:r>
          </w:p>
        </w:tc>
      </w:tr>
      <w:tr w:rsidR="00CE5236" w14:paraId="27C1574A" w14:textId="77777777" w:rsidTr="00021A6E">
        <w:tc>
          <w:tcPr>
            <w:tcW w:w="4390" w:type="dxa"/>
            <w:gridSpan w:val="2"/>
          </w:tcPr>
          <w:p w14:paraId="6970B18F" w14:textId="1E0E06EE" w:rsidR="00CE5236" w:rsidRDefault="00CE5236" w:rsidP="00DF0119">
            <w:pPr>
              <w:pStyle w:val="Paragraphedeliste"/>
              <w:numPr>
                <w:ilvl w:val="0"/>
                <w:numId w:val="6"/>
              </w:numPr>
              <w:ind w:left="308" w:hanging="308"/>
            </w:pPr>
            <w:r>
              <w:t>Voyageurs entrants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58895651" w14:textId="369BEDFE" w:rsidR="00CE5236" w:rsidRDefault="00CE5236" w:rsidP="00CE5236">
            <w:r>
              <w:t>Test</w:t>
            </w:r>
            <w:r w:rsidR="00095313">
              <w:t xml:space="preserve"> (</w:t>
            </w:r>
            <w:proofErr w:type="spellStart"/>
            <w:r w:rsidR="00095313">
              <w:t>cfr</w:t>
            </w:r>
            <w:proofErr w:type="spellEnd"/>
            <w:r w:rsidR="00095313">
              <w:t xml:space="preserve"> procédure voyageur)</w:t>
            </w:r>
          </w:p>
        </w:tc>
      </w:tr>
      <w:tr w:rsidR="00CE5236" w14:paraId="6463820A" w14:textId="77777777" w:rsidTr="00021A6E">
        <w:tc>
          <w:tcPr>
            <w:tcW w:w="4390" w:type="dxa"/>
            <w:gridSpan w:val="2"/>
          </w:tcPr>
          <w:p w14:paraId="3F3E8102" w14:textId="37B3D682" w:rsidR="00CE5236" w:rsidRDefault="00CE5236" w:rsidP="00DF0119">
            <w:pPr>
              <w:pStyle w:val="Paragraphedeliste"/>
              <w:numPr>
                <w:ilvl w:val="0"/>
                <w:numId w:val="6"/>
              </w:numPr>
              <w:ind w:left="308" w:hanging="308"/>
            </w:pPr>
            <w:r>
              <w:t xml:space="preserve">Voyageurs en partance </w:t>
            </w:r>
          </w:p>
        </w:tc>
        <w:tc>
          <w:tcPr>
            <w:tcW w:w="10914" w:type="dxa"/>
            <w:gridSpan w:val="3"/>
            <w:shd w:val="clear" w:color="auto" w:fill="auto"/>
          </w:tcPr>
          <w:p w14:paraId="6D68B137" w14:textId="67F2CF87" w:rsidR="00CE5236" w:rsidRDefault="00CE5236" w:rsidP="00CE5236">
            <w:r>
              <w:t xml:space="preserve">Test </w:t>
            </w:r>
            <w:r w:rsidRPr="00CE5236">
              <w:t>RAT</w:t>
            </w:r>
            <w:r>
              <w:t xml:space="preserve"> (Rapid </w:t>
            </w:r>
            <w:proofErr w:type="spellStart"/>
            <w:r>
              <w:t>Antigen</w:t>
            </w:r>
            <w:proofErr w:type="spellEnd"/>
            <w:r>
              <w:t xml:space="preserve"> Test – Test antigénique rapide) ou PCR selon pays de destination + Quarantaine</w:t>
            </w:r>
          </w:p>
        </w:tc>
      </w:tr>
      <w:tr w:rsidR="0094172B" w:rsidRPr="0094172B" w14:paraId="163A90D6" w14:textId="77777777" w:rsidTr="00021A6E">
        <w:tc>
          <w:tcPr>
            <w:tcW w:w="4390" w:type="dxa"/>
            <w:gridSpan w:val="2"/>
            <w:shd w:val="clear" w:color="auto" w:fill="000000" w:themeFill="text1"/>
          </w:tcPr>
          <w:p w14:paraId="71CBB989" w14:textId="504AD822" w:rsidR="0094172B" w:rsidRPr="0094172B" w:rsidRDefault="0094172B">
            <w:pPr>
              <w:rPr>
                <w:b/>
                <w:bCs/>
              </w:rPr>
            </w:pPr>
            <w:r w:rsidRPr="0094172B">
              <w:rPr>
                <w:b/>
                <w:bCs/>
              </w:rPr>
              <w:t>Quarantaine</w:t>
            </w:r>
            <w:r w:rsidR="00CA493E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3638" w:type="dxa"/>
            <w:shd w:val="clear" w:color="auto" w:fill="000000" w:themeFill="text1"/>
          </w:tcPr>
          <w:p w14:paraId="2F99C18B" w14:textId="77777777" w:rsidR="0094172B" w:rsidRPr="0094172B" w:rsidRDefault="0094172B">
            <w:pPr>
              <w:rPr>
                <w:b/>
                <w:bCs/>
              </w:rPr>
            </w:pPr>
          </w:p>
        </w:tc>
        <w:tc>
          <w:tcPr>
            <w:tcW w:w="3638" w:type="dxa"/>
            <w:shd w:val="clear" w:color="auto" w:fill="000000" w:themeFill="text1"/>
          </w:tcPr>
          <w:p w14:paraId="38A2C63E" w14:textId="77777777" w:rsidR="0094172B" w:rsidRPr="0094172B" w:rsidRDefault="0094172B">
            <w:pPr>
              <w:rPr>
                <w:b/>
                <w:bCs/>
              </w:rPr>
            </w:pPr>
          </w:p>
        </w:tc>
        <w:tc>
          <w:tcPr>
            <w:tcW w:w="3638" w:type="dxa"/>
            <w:shd w:val="clear" w:color="auto" w:fill="000000" w:themeFill="text1"/>
          </w:tcPr>
          <w:p w14:paraId="579BFCB5" w14:textId="77777777" w:rsidR="0094172B" w:rsidRPr="0094172B" w:rsidRDefault="0094172B">
            <w:pPr>
              <w:rPr>
                <w:b/>
                <w:bCs/>
              </w:rPr>
            </w:pPr>
          </w:p>
        </w:tc>
      </w:tr>
      <w:tr w:rsidR="006C5A9A" w14:paraId="4813B7CE" w14:textId="77777777" w:rsidTr="00021A6E">
        <w:tc>
          <w:tcPr>
            <w:tcW w:w="4390" w:type="dxa"/>
            <w:gridSpan w:val="2"/>
            <w:vMerge w:val="restart"/>
          </w:tcPr>
          <w:p w14:paraId="5033A288" w14:textId="09A1E2C4" w:rsidR="006C5A9A" w:rsidRDefault="00694247" w:rsidP="00DF0119">
            <w:r>
              <w:t>Contacts à haut risque</w:t>
            </w:r>
          </w:p>
        </w:tc>
        <w:tc>
          <w:tcPr>
            <w:tcW w:w="3638" w:type="dxa"/>
            <w:shd w:val="clear" w:color="auto" w:fill="92D050"/>
          </w:tcPr>
          <w:p w14:paraId="67EF24C1" w14:textId="693342EC" w:rsidR="006C5A9A" w:rsidRDefault="006C5A9A">
            <w:r>
              <w:t>(5) Pas de quarantaine mais mesures préventives strictes</w:t>
            </w:r>
            <w:r>
              <w:rPr>
                <w:rStyle w:val="Appelnotedebasdep"/>
              </w:rPr>
              <w:footnoteReference w:id="3"/>
            </w:r>
            <w:r>
              <w:t xml:space="preserve"> jusqu’à 10 jours après le contact</w:t>
            </w:r>
            <w:r w:rsidR="00B93016">
              <w:t>.</w:t>
            </w:r>
          </w:p>
        </w:tc>
        <w:tc>
          <w:tcPr>
            <w:tcW w:w="3638" w:type="dxa"/>
            <w:shd w:val="clear" w:color="auto" w:fill="FFC000"/>
          </w:tcPr>
          <w:p w14:paraId="5C61E8C9" w14:textId="52B7916E" w:rsidR="006C5A9A" w:rsidRDefault="006C5A9A">
            <w:r>
              <w:t xml:space="preserve">(6) Quarantaine pendant 7 jours. </w:t>
            </w:r>
            <w:r>
              <w:br/>
              <w:t xml:space="preserve">A partir du jour 4, </w:t>
            </w:r>
            <w:r w:rsidRPr="00DF0119">
              <w:t xml:space="preserve">la quarantaine peut être levée </w:t>
            </w:r>
            <w:r>
              <w:t>si</w:t>
            </w:r>
            <w:r w:rsidRPr="00DF0119">
              <w:t xml:space="preserve"> autotests négatifs quotidiens et appli</w:t>
            </w:r>
            <w:r>
              <w:t>cation</w:t>
            </w:r>
            <w:r w:rsidRPr="00DF0119">
              <w:t xml:space="preserve"> stricte</w:t>
            </w:r>
            <w:r>
              <w:t xml:space="preserve"> d</w:t>
            </w:r>
            <w:r w:rsidRPr="00DF0119">
              <w:t>es mesures préventives</w:t>
            </w:r>
            <w:r w:rsidR="00087D5C">
              <w:t>³</w:t>
            </w:r>
            <w:r>
              <w:t xml:space="preserve"> </w:t>
            </w:r>
            <w:r w:rsidRPr="002B19F1">
              <w:t>jusqu'à 10 jours après le contact à haut risque.</w:t>
            </w:r>
          </w:p>
        </w:tc>
        <w:tc>
          <w:tcPr>
            <w:tcW w:w="3638" w:type="dxa"/>
          </w:tcPr>
          <w:p w14:paraId="32E5B219" w14:textId="77777777" w:rsidR="006C5A9A" w:rsidRPr="00EE0D45" w:rsidRDefault="006C5A9A">
            <w:pPr>
              <w:rPr>
                <w:rFonts w:eastAsia="Times New Roman" w:cstheme="minorHAnsi"/>
                <w:color w:val="413D3D"/>
                <w:lang w:eastAsia="fr-BE"/>
              </w:rPr>
            </w:pPr>
            <w:r w:rsidRPr="00EE0D45">
              <w:rPr>
                <w:rFonts w:cstheme="minorHAnsi"/>
              </w:rPr>
              <w:t>(7) Q</w:t>
            </w:r>
            <w:r w:rsidRPr="00EE0D45">
              <w:rPr>
                <w:rFonts w:eastAsia="Times New Roman" w:cstheme="minorHAnsi"/>
                <w:color w:val="413D3D"/>
                <w:lang w:eastAsia="fr-BE"/>
              </w:rPr>
              <w:t>uarantaine pendant 10 jours.</w:t>
            </w:r>
          </w:p>
          <w:p w14:paraId="012EB478" w14:textId="7509F660" w:rsidR="006C5A9A" w:rsidRPr="00EE0D45" w:rsidRDefault="006C5A9A">
            <w:pPr>
              <w:rPr>
                <w:rFonts w:cstheme="minorHAnsi"/>
              </w:rPr>
            </w:pPr>
            <w:r w:rsidRPr="00EE0D45">
              <w:rPr>
                <w:rFonts w:eastAsia="Times New Roman" w:cstheme="minorHAnsi"/>
                <w:color w:val="413D3D"/>
                <w:lang w:eastAsia="fr-BE"/>
              </w:rPr>
              <w:t xml:space="preserve">A partir du jour 7, la quarantaine peut être levée si autotests négatifs quotidiens, et </w:t>
            </w:r>
            <w:r w:rsidRPr="00DF0119">
              <w:t>appli</w:t>
            </w:r>
            <w:r>
              <w:t>cation</w:t>
            </w:r>
            <w:r w:rsidRPr="00DF0119">
              <w:t xml:space="preserve"> stricte</w:t>
            </w:r>
            <w:r>
              <w:t xml:space="preserve"> d</w:t>
            </w:r>
            <w:r w:rsidRPr="00DF0119">
              <w:t>es mesures préventives</w:t>
            </w:r>
            <w:r w:rsidR="00087D5C">
              <w:t>³</w:t>
            </w:r>
          </w:p>
          <w:p w14:paraId="332C5DB5" w14:textId="77CE1756" w:rsidR="006C5A9A" w:rsidRPr="00EE0D45" w:rsidRDefault="006C5A9A" w:rsidP="002B19F1">
            <w:pPr>
              <w:tabs>
                <w:tab w:val="left" w:pos="1118"/>
              </w:tabs>
              <w:rPr>
                <w:rFonts w:cstheme="minorHAnsi"/>
              </w:rPr>
            </w:pPr>
            <w:r w:rsidRPr="00EE0D45">
              <w:rPr>
                <w:rFonts w:cstheme="minorHAnsi"/>
              </w:rPr>
              <w:tab/>
            </w:r>
          </w:p>
        </w:tc>
      </w:tr>
      <w:tr w:rsidR="006C5A9A" w14:paraId="423B68A2" w14:textId="77777777" w:rsidTr="00021A6E">
        <w:tc>
          <w:tcPr>
            <w:tcW w:w="4390" w:type="dxa"/>
            <w:gridSpan w:val="2"/>
            <w:vMerge/>
          </w:tcPr>
          <w:p w14:paraId="3FBDCF06" w14:textId="77777777" w:rsidR="006C5A9A" w:rsidRDefault="006C5A9A" w:rsidP="00DF0119"/>
        </w:tc>
        <w:tc>
          <w:tcPr>
            <w:tcW w:w="10914" w:type="dxa"/>
            <w:gridSpan w:val="3"/>
            <w:shd w:val="clear" w:color="auto" w:fill="auto"/>
          </w:tcPr>
          <w:p w14:paraId="2111C83C" w14:textId="3CB1F169" w:rsidR="006C5A9A" w:rsidRPr="00EE0D45" w:rsidRDefault="006C5A9A">
            <w:pPr>
              <w:rPr>
                <w:rFonts w:cstheme="minorHAnsi"/>
              </w:rPr>
            </w:pPr>
            <w:r>
              <w:t xml:space="preserve">(8) </w:t>
            </w:r>
            <w:r w:rsidRPr="006C5A9A">
              <w:t>Les enfants âgés de 5 à 11 ans ont le statut de l'adulte avec lequel il réside actuellement et suivre les mêmes règles de quarantaine</w:t>
            </w:r>
            <w:r>
              <w:t xml:space="preserve"> ou d’isolation</w:t>
            </w:r>
            <w:r w:rsidRPr="006C5A9A">
              <w:t>.</w:t>
            </w:r>
          </w:p>
        </w:tc>
      </w:tr>
      <w:tr w:rsidR="004C1288" w:rsidRPr="00757EAA" w14:paraId="4D39779E" w14:textId="77777777" w:rsidTr="00021A6E">
        <w:tc>
          <w:tcPr>
            <w:tcW w:w="4390" w:type="dxa"/>
            <w:gridSpan w:val="2"/>
          </w:tcPr>
          <w:p w14:paraId="4DB9CDF2" w14:textId="6F601A2D" w:rsidR="004C1288" w:rsidRPr="00757EAA" w:rsidRDefault="004C1288" w:rsidP="00021A6E">
            <w:pPr>
              <w:rPr>
                <w:b/>
                <w:bCs/>
              </w:rPr>
            </w:pPr>
            <w:r>
              <w:t>Contacts à haut risque</w:t>
            </w:r>
            <w:r w:rsidR="00021A6E">
              <w:t xml:space="preserve"> pour le </w:t>
            </w:r>
            <w:r w:rsidR="00021A6E">
              <w:br/>
              <w:t>p</w:t>
            </w:r>
            <w:r>
              <w:t>ersonnel de santé asymptomatique</w:t>
            </w:r>
            <w:r w:rsidR="00694247">
              <w:t>*</w:t>
            </w:r>
          </w:p>
        </w:tc>
        <w:tc>
          <w:tcPr>
            <w:tcW w:w="3638" w:type="dxa"/>
            <w:shd w:val="clear" w:color="auto" w:fill="92D050"/>
          </w:tcPr>
          <w:p w14:paraId="48077743" w14:textId="77777777" w:rsidR="004C1288" w:rsidRDefault="004C1288" w:rsidP="007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de quarantaine</w:t>
            </w:r>
          </w:p>
          <w:p w14:paraId="6C1E97A6" w14:textId="0B32DBFF" w:rsidR="004C1288" w:rsidRPr="00713CFA" w:rsidRDefault="004C1288" w:rsidP="007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Précautions pendant 10 jours</w:t>
            </w:r>
          </w:p>
        </w:tc>
        <w:tc>
          <w:tcPr>
            <w:tcW w:w="3638" w:type="dxa"/>
            <w:shd w:val="clear" w:color="auto" w:fill="FFC000"/>
          </w:tcPr>
          <w:p w14:paraId="6CACBA3B" w14:textId="5768F720" w:rsidR="004C1288" w:rsidRPr="002B19F1" w:rsidRDefault="00D342EC" w:rsidP="007619B6">
            <w:pPr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color w:val="413D3D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3638" w:type="dxa"/>
          </w:tcPr>
          <w:p w14:paraId="39715E3F" w14:textId="79F54DF0" w:rsidR="004C1288" w:rsidRPr="00EE0D45" w:rsidRDefault="00D342EC" w:rsidP="0076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129BE4C" w14:textId="11844079" w:rsidR="00E72C7A" w:rsidRPr="00694247" w:rsidRDefault="00694247" w:rsidP="00694247">
      <w:pPr>
        <w:rPr>
          <w:sz w:val="18"/>
          <w:szCs w:val="18"/>
        </w:rPr>
      </w:pPr>
      <w:r w:rsidRPr="00694247">
        <w:rPr>
          <w:sz w:val="18"/>
          <w:szCs w:val="18"/>
        </w:rPr>
        <w:t>* Source</w:t>
      </w:r>
      <w:r w:rsidR="00114267">
        <w:rPr>
          <w:sz w:val="18"/>
          <w:szCs w:val="18"/>
        </w:rPr>
        <w:t xml:space="preserve"> spécifique</w:t>
      </w:r>
      <w:r w:rsidRPr="00694247">
        <w:rPr>
          <w:sz w:val="18"/>
          <w:szCs w:val="18"/>
        </w:rPr>
        <w:t xml:space="preserve"> : site </w:t>
      </w:r>
      <w:r>
        <w:rPr>
          <w:sz w:val="18"/>
          <w:szCs w:val="18"/>
        </w:rPr>
        <w:t xml:space="preserve">web </w:t>
      </w:r>
      <w:proofErr w:type="spellStart"/>
      <w:r w:rsidRPr="00694247">
        <w:rPr>
          <w:sz w:val="18"/>
          <w:szCs w:val="18"/>
        </w:rPr>
        <w:t>Sciensano</w:t>
      </w:r>
      <w:proofErr w:type="spellEnd"/>
      <w:r w:rsidRPr="00694247">
        <w:rPr>
          <w:sz w:val="18"/>
          <w:szCs w:val="18"/>
        </w:rPr>
        <w:t xml:space="preserve"> (</w:t>
      </w:r>
      <w:hyperlink r:id="rId9" w:history="1">
        <w:r w:rsidRPr="00694247">
          <w:rPr>
            <w:rStyle w:val="Lienhypertexte"/>
            <w:sz w:val="18"/>
            <w:szCs w:val="18"/>
          </w:rPr>
          <w:t>https://covid-19.sciensano.be/fr/procedures/exceptions-la-quarantaine</w:t>
        </w:r>
      </w:hyperlink>
      <w:r w:rsidRPr="00694247">
        <w:rPr>
          <w:sz w:val="18"/>
          <w:szCs w:val="18"/>
        </w:rPr>
        <w:t>) consulté le 9/1/22</w:t>
      </w:r>
    </w:p>
    <w:p w14:paraId="26A4FFDE" w14:textId="77777777" w:rsidR="00E72C7A" w:rsidRDefault="00E72C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0631"/>
      </w:tblGrid>
      <w:tr w:rsidR="006C5A9A" w14:paraId="5C0CF342" w14:textId="77777777" w:rsidTr="006C5A9A">
        <w:tc>
          <w:tcPr>
            <w:tcW w:w="15304" w:type="dxa"/>
            <w:gridSpan w:val="2"/>
            <w:shd w:val="clear" w:color="auto" w:fill="000000" w:themeFill="text1"/>
          </w:tcPr>
          <w:p w14:paraId="2CA89FF3" w14:textId="7824B5C5" w:rsidR="006C5A9A" w:rsidRPr="006C5A9A" w:rsidRDefault="006C5A9A">
            <w:pPr>
              <w:rPr>
                <w:b/>
                <w:bCs/>
              </w:rPr>
            </w:pPr>
            <w:r w:rsidRPr="006C5A9A">
              <w:rPr>
                <w:b/>
                <w:bCs/>
              </w:rPr>
              <w:t>Isolation</w:t>
            </w:r>
            <w:r w:rsidR="00B93016">
              <w:rPr>
                <w:rStyle w:val="Appelnotedebasdep"/>
                <w:b/>
                <w:bCs/>
              </w:rPr>
              <w:footnoteReference w:id="4"/>
            </w:r>
          </w:p>
        </w:tc>
      </w:tr>
      <w:tr w:rsidR="0071605D" w14:paraId="41E3C47A" w14:textId="77777777" w:rsidTr="0031771A">
        <w:tc>
          <w:tcPr>
            <w:tcW w:w="4673" w:type="dxa"/>
          </w:tcPr>
          <w:p w14:paraId="0432F990" w14:textId="77777777" w:rsidR="0071605D" w:rsidRDefault="0071605D" w:rsidP="0031771A"/>
        </w:tc>
        <w:tc>
          <w:tcPr>
            <w:tcW w:w="10631" w:type="dxa"/>
            <w:shd w:val="clear" w:color="auto" w:fill="auto"/>
          </w:tcPr>
          <w:p w14:paraId="329CBBF7" w14:textId="70A56653" w:rsidR="0071605D" w:rsidRDefault="0071605D" w:rsidP="0031771A">
            <w:r>
              <w:t>(9) Pas de distinction selon le statut vaccinal</w:t>
            </w:r>
          </w:p>
        </w:tc>
      </w:tr>
      <w:tr w:rsidR="0071605D" w14:paraId="659C54AD" w14:textId="77777777" w:rsidTr="009676D9">
        <w:tc>
          <w:tcPr>
            <w:tcW w:w="4673" w:type="dxa"/>
          </w:tcPr>
          <w:p w14:paraId="3CA8C81B" w14:textId="77777777" w:rsidR="0071605D" w:rsidRDefault="0071605D" w:rsidP="009676D9">
            <w:r>
              <w:t>(10) Patients hospitalisés</w:t>
            </w:r>
          </w:p>
        </w:tc>
        <w:tc>
          <w:tcPr>
            <w:tcW w:w="10631" w:type="dxa"/>
            <w:shd w:val="clear" w:color="auto" w:fill="auto"/>
          </w:tcPr>
          <w:p w14:paraId="32118807" w14:textId="77777777" w:rsidR="0071605D" w:rsidRDefault="0071605D" w:rsidP="009676D9">
            <w:r>
              <w:t>Isolation de 14 jours</w:t>
            </w:r>
          </w:p>
        </w:tc>
      </w:tr>
      <w:tr w:rsidR="00B93016" w14:paraId="2ABE6357" w14:textId="77777777" w:rsidTr="00B93016">
        <w:tc>
          <w:tcPr>
            <w:tcW w:w="4673" w:type="dxa"/>
          </w:tcPr>
          <w:p w14:paraId="5099F39F" w14:textId="2F73E7C3" w:rsidR="00B93016" w:rsidRDefault="0071605D" w:rsidP="000425CB">
            <w:r>
              <w:t xml:space="preserve">(10) </w:t>
            </w:r>
            <w:r w:rsidR="00B93016">
              <w:t>Patients immunodéprimés</w:t>
            </w:r>
          </w:p>
        </w:tc>
        <w:tc>
          <w:tcPr>
            <w:tcW w:w="10631" w:type="dxa"/>
            <w:shd w:val="clear" w:color="auto" w:fill="auto"/>
          </w:tcPr>
          <w:p w14:paraId="3D240AC8" w14:textId="32FB6B53" w:rsidR="00B93016" w:rsidRDefault="00FF3BBB" w:rsidP="000425CB">
            <w:r>
              <w:t>Isolation de 21 jours</w:t>
            </w:r>
          </w:p>
        </w:tc>
      </w:tr>
      <w:tr w:rsidR="00FF3BBB" w14:paraId="50C19552" w14:textId="77777777" w:rsidTr="00B93016">
        <w:tc>
          <w:tcPr>
            <w:tcW w:w="4673" w:type="dxa"/>
          </w:tcPr>
          <w:p w14:paraId="61BAF929" w14:textId="5AAEB861" w:rsidR="00FF3BBB" w:rsidRDefault="0071605D" w:rsidP="000425CB">
            <w:r>
              <w:t xml:space="preserve">(11) </w:t>
            </w:r>
            <w:r w:rsidR="00FF3BBB">
              <w:t xml:space="preserve">Personnes </w:t>
            </w:r>
            <w:r>
              <w:t>a</w:t>
            </w:r>
            <w:r w:rsidR="00FF3BBB">
              <w:t>symptomatiques</w:t>
            </w:r>
            <w:r>
              <w:br/>
            </w:r>
            <w:r w:rsidR="00FF3BBB">
              <w:t>ou ayant des plaintes légères</w:t>
            </w:r>
          </w:p>
        </w:tc>
        <w:tc>
          <w:tcPr>
            <w:tcW w:w="10631" w:type="dxa"/>
            <w:shd w:val="clear" w:color="auto" w:fill="auto"/>
          </w:tcPr>
          <w:p w14:paraId="5CF57CCC" w14:textId="7596F63C" w:rsidR="00FF3BBB" w:rsidRDefault="00FF3BBB" w:rsidP="000425CB">
            <w:r>
              <w:t xml:space="preserve">Isolement de 7 jours </w:t>
            </w:r>
            <w:r w:rsidR="005F7BF9">
              <w:t>SI</w:t>
            </w:r>
            <w:r>
              <w:t xml:space="preserve"> pas de fièvre </w:t>
            </w:r>
            <w:r w:rsidR="00087D5C">
              <w:t>les</w:t>
            </w:r>
            <w:r>
              <w:t xml:space="preserve"> 3</w:t>
            </w:r>
            <w:r w:rsidR="00087D5C">
              <w:t xml:space="preserve"> derniers</w:t>
            </w:r>
            <w:r>
              <w:t xml:space="preserve"> jours </w:t>
            </w:r>
            <w:r w:rsidR="005F7BF9">
              <w:t>ET</w:t>
            </w:r>
            <w:r>
              <w:t xml:space="preserve"> amélioration clinique des plaintes</w:t>
            </w:r>
            <w:r w:rsidR="0071605D">
              <w:br/>
            </w:r>
            <w:r>
              <w:t>+ 3 jours de mesures protection</w:t>
            </w:r>
            <w:r>
              <w:rPr>
                <w:rStyle w:val="Appelnotedebasdep"/>
              </w:rPr>
              <w:footnoteReference w:id="5"/>
            </w:r>
          </w:p>
        </w:tc>
      </w:tr>
      <w:tr w:rsidR="0071605D" w14:paraId="0C3E7133" w14:textId="77777777" w:rsidTr="00B93016">
        <w:tc>
          <w:tcPr>
            <w:tcW w:w="4673" w:type="dxa"/>
          </w:tcPr>
          <w:p w14:paraId="38956EAD" w14:textId="74A256F8" w:rsidR="0071605D" w:rsidRDefault="0071605D" w:rsidP="000425CB">
            <w:r>
              <w:t xml:space="preserve">(12) Collectivités pour personnes vulnérables (Ex : MRS) : </w:t>
            </w:r>
            <w:r w:rsidR="00CE5236" w:rsidRPr="00CE5236">
              <w:rPr>
                <w:b/>
                <w:bCs/>
              </w:rPr>
              <w:t>r</w:t>
            </w:r>
            <w:r w:rsidRPr="00CE5236">
              <w:rPr>
                <w:b/>
                <w:bCs/>
              </w:rPr>
              <w:t>ésidents</w:t>
            </w:r>
            <w:r>
              <w:t xml:space="preserve"> </w:t>
            </w:r>
            <w:r w:rsidRPr="00CE5236">
              <w:rPr>
                <w:b/>
                <w:bCs/>
              </w:rPr>
              <w:t>asymptomatiques</w:t>
            </w:r>
            <w:r>
              <w:br/>
              <w:t>ou ayant des plaintes légères</w:t>
            </w:r>
          </w:p>
        </w:tc>
        <w:tc>
          <w:tcPr>
            <w:tcW w:w="10631" w:type="dxa"/>
            <w:shd w:val="clear" w:color="auto" w:fill="auto"/>
          </w:tcPr>
          <w:p w14:paraId="57C3C3E1" w14:textId="27E04860" w:rsidR="0071605D" w:rsidRDefault="0071605D" w:rsidP="000425CB">
            <w:r>
              <w:t xml:space="preserve">Isolement de </w:t>
            </w:r>
            <w:r w:rsidR="00CE5236">
              <w:t>10</w:t>
            </w:r>
            <w:r>
              <w:t xml:space="preserve"> jours </w:t>
            </w:r>
            <w:r w:rsidR="005F7BF9">
              <w:t>SI</w:t>
            </w:r>
            <w:r>
              <w:t xml:space="preserve"> pas de fièvre pendant 3 jours </w:t>
            </w:r>
            <w:r w:rsidR="005F7BF9">
              <w:t>ET</w:t>
            </w:r>
            <w:r>
              <w:t xml:space="preserve"> amélioration clinique des plaintes</w:t>
            </w:r>
          </w:p>
        </w:tc>
      </w:tr>
      <w:tr w:rsidR="00CE5236" w14:paraId="6F09F27D" w14:textId="77777777" w:rsidTr="00B93016">
        <w:tc>
          <w:tcPr>
            <w:tcW w:w="4673" w:type="dxa"/>
          </w:tcPr>
          <w:p w14:paraId="306827B7" w14:textId="10B9E8FC" w:rsidR="00CE5236" w:rsidRDefault="00CE5236" w:rsidP="00CE5236">
            <w:r>
              <w:t xml:space="preserve">(12) Collectivités pour personnes vulnérables (Ex : MRS) : </w:t>
            </w:r>
            <w:r w:rsidRPr="00CE5236">
              <w:rPr>
                <w:b/>
                <w:bCs/>
              </w:rPr>
              <w:t>personnel soignant</w:t>
            </w:r>
            <w:r>
              <w:t xml:space="preserve"> </w:t>
            </w:r>
            <w:r w:rsidRPr="00CE5236">
              <w:rPr>
                <w:b/>
                <w:bCs/>
              </w:rPr>
              <w:t>asymptomatiques</w:t>
            </w:r>
            <w:r>
              <w:br/>
              <w:t>ou ayant des plaintes légères</w:t>
            </w:r>
          </w:p>
        </w:tc>
        <w:tc>
          <w:tcPr>
            <w:tcW w:w="10631" w:type="dxa"/>
            <w:shd w:val="clear" w:color="auto" w:fill="auto"/>
          </w:tcPr>
          <w:p w14:paraId="26C858F8" w14:textId="2698DD24" w:rsidR="00CE5236" w:rsidRDefault="00CE5236" w:rsidP="00CE5236">
            <w:r>
              <w:t>Isolement de 7 jours puis port obligatoire d’un masque FFP2 sur le lieu de travail</w:t>
            </w:r>
          </w:p>
        </w:tc>
      </w:tr>
    </w:tbl>
    <w:p w14:paraId="6B632417" w14:textId="77777777" w:rsidR="00A36B68" w:rsidRDefault="00A36B68"/>
    <w:sectPr w:rsidR="00A36B68" w:rsidSect="00021A6E">
      <w:headerReference w:type="default" r:id="rId10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FAA7" w14:textId="77777777" w:rsidR="00A17DFB" w:rsidRDefault="00A17DFB" w:rsidP="00CA493E">
      <w:pPr>
        <w:spacing w:after="0" w:line="240" w:lineRule="auto"/>
      </w:pPr>
      <w:r>
        <w:separator/>
      </w:r>
    </w:p>
  </w:endnote>
  <w:endnote w:type="continuationSeparator" w:id="0">
    <w:p w14:paraId="5F052FCD" w14:textId="77777777" w:rsidR="00A17DFB" w:rsidRDefault="00A17DFB" w:rsidP="00CA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F6C4" w14:textId="77777777" w:rsidR="00A17DFB" w:rsidRDefault="00A17DFB" w:rsidP="00CA493E">
      <w:pPr>
        <w:spacing w:after="0" w:line="240" w:lineRule="auto"/>
      </w:pPr>
      <w:r>
        <w:separator/>
      </w:r>
    </w:p>
  </w:footnote>
  <w:footnote w:type="continuationSeparator" w:id="0">
    <w:p w14:paraId="3681DA6E" w14:textId="77777777" w:rsidR="00A17DFB" w:rsidRDefault="00A17DFB" w:rsidP="00CA493E">
      <w:pPr>
        <w:spacing w:after="0" w:line="240" w:lineRule="auto"/>
      </w:pPr>
      <w:r>
        <w:continuationSeparator/>
      </w:r>
    </w:p>
  </w:footnote>
  <w:footnote w:id="1">
    <w:p w14:paraId="17077C71" w14:textId="7AE4BB7B" w:rsidR="0046228B" w:rsidRPr="005F7BF9" w:rsidRDefault="0046228B">
      <w:pPr>
        <w:pStyle w:val="Notedebasdepage"/>
        <w:rPr>
          <w:sz w:val="18"/>
          <w:szCs w:val="18"/>
        </w:rPr>
      </w:pPr>
      <w:r w:rsidRPr="005F7BF9">
        <w:rPr>
          <w:rStyle w:val="Appelnotedebasdep"/>
          <w:sz w:val="18"/>
          <w:szCs w:val="18"/>
        </w:rPr>
        <w:footnoteRef/>
      </w:r>
      <w:r w:rsidRPr="005F7BF9">
        <w:rPr>
          <w:sz w:val="18"/>
          <w:szCs w:val="18"/>
        </w:rPr>
        <w:t xml:space="preserve"> </w:t>
      </w:r>
      <w:r w:rsidRPr="005F7BF9">
        <w:rPr>
          <w:rFonts w:cstheme="minorHAnsi"/>
          <w:sz w:val="18"/>
          <w:szCs w:val="18"/>
          <w:shd w:val="clear" w:color="auto" w:fill="FFFFFF"/>
        </w:rPr>
        <w:t>Une personne-contact</w:t>
      </w:r>
      <w:r w:rsidR="005F7BF9" w:rsidRPr="005F7BF9">
        <w:rPr>
          <w:rFonts w:cstheme="minorHAnsi"/>
          <w:sz w:val="18"/>
          <w:szCs w:val="18"/>
          <w:shd w:val="clear" w:color="auto" w:fill="FFFFFF"/>
        </w:rPr>
        <w:t xml:space="preserve"> : </w:t>
      </w:r>
      <w:r w:rsidRPr="005F7BF9">
        <w:rPr>
          <w:rFonts w:cstheme="minorHAnsi"/>
          <w:sz w:val="18"/>
          <w:szCs w:val="18"/>
          <w:shd w:val="clear" w:color="auto" w:fill="FFFFFF"/>
        </w:rPr>
        <w:t>personne qui a été en contact avec un cas confirmé de COVID-19 dans les 2 jours précédant l'apparition des symptômes jusqu'à la fin de la période de contagiosité (fin de l'</w:t>
      </w:r>
      <w:hyperlink r:id="rId1" w:tooltip="Isolement" w:history="1">
        <w:r w:rsidRPr="005F7BF9">
          <w:rPr>
            <w:rStyle w:val="Lienhypertexte"/>
            <w:rFonts w:cstheme="minorHAnsi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isolement</w:t>
        </w:r>
      </w:hyperlink>
      <w:r w:rsidRPr="005F7BF9">
        <w:rPr>
          <w:rFonts w:cstheme="minorHAnsi"/>
          <w:sz w:val="18"/>
          <w:szCs w:val="18"/>
          <w:shd w:val="clear" w:color="auto" w:fill="FFFFFF"/>
        </w:rPr>
        <w:t>)</w:t>
      </w:r>
      <w:r w:rsidR="00694247">
        <w:rPr>
          <w:rFonts w:cstheme="minorHAnsi"/>
          <w:sz w:val="18"/>
          <w:szCs w:val="18"/>
          <w:shd w:val="clear" w:color="auto" w:fill="FFFFFF"/>
        </w:rPr>
        <w:t xml:space="preserve"> ou, si asymptomatique</w:t>
      </w:r>
      <w:r w:rsidR="005757BE">
        <w:rPr>
          <w:rFonts w:cstheme="minorHAnsi"/>
          <w:sz w:val="18"/>
          <w:szCs w:val="18"/>
          <w:shd w:val="clear" w:color="auto" w:fill="FFFFFF"/>
        </w:rPr>
        <w:t>,</w:t>
      </w:r>
      <w:r w:rsidR="00694247">
        <w:rPr>
          <w:rFonts w:cstheme="minorHAnsi"/>
          <w:sz w:val="18"/>
          <w:szCs w:val="18"/>
          <w:shd w:val="clear" w:color="auto" w:fill="FFFFFF"/>
        </w:rPr>
        <w:t xml:space="preserve"> 2 jours avant prélèvement </w:t>
      </w:r>
      <w:r w:rsidR="005757BE">
        <w:rPr>
          <w:rFonts w:cstheme="minorHAnsi"/>
          <w:sz w:val="18"/>
          <w:szCs w:val="18"/>
          <w:shd w:val="clear" w:color="auto" w:fill="FFFFFF"/>
        </w:rPr>
        <w:t xml:space="preserve">positif </w:t>
      </w:r>
      <w:r w:rsidR="00694247">
        <w:rPr>
          <w:rFonts w:cstheme="minorHAnsi"/>
          <w:sz w:val="18"/>
          <w:szCs w:val="18"/>
          <w:shd w:val="clear" w:color="auto" w:fill="FFFFFF"/>
        </w:rPr>
        <w:t>et jusqu’à 10 jours après</w:t>
      </w:r>
      <w:r w:rsidRPr="005F7BF9">
        <w:rPr>
          <w:rFonts w:cstheme="minorHAnsi"/>
          <w:sz w:val="18"/>
          <w:szCs w:val="18"/>
          <w:shd w:val="clear" w:color="auto" w:fill="FFFFFF"/>
        </w:rPr>
        <w:t>.</w:t>
      </w:r>
    </w:p>
  </w:footnote>
  <w:footnote w:id="2">
    <w:p w14:paraId="62526C49" w14:textId="407A9719" w:rsidR="00CA493E" w:rsidRPr="005F7BF9" w:rsidRDefault="00CA493E">
      <w:pPr>
        <w:pStyle w:val="Notedebasdepage"/>
        <w:rPr>
          <w:rFonts w:cstheme="minorHAnsi"/>
          <w:sz w:val="18"/>
          <w:szCs w:val="18"/>
        </w:rPr>
      </w:pPr>
      <w:r w:rsidRPr="005F7BF9">
        <w:rPr>
          <w:rStyle w:val="Appelnotedebasdep"/>
          <w:rFonts w:cstheme="minorHAnsi"/>
          <w:sz w:val="18"/>
          <w:szCs w:val="18"/>
        </w:rPr>
        <w:footnoteRef/>
      </w:r>
      <w:r w:rsidRPr="005F7BF9">
        <w:rPr>
          <w:rFonts w:cstheme="minorHAnsi"/>
          <w:sz w:val="18"/>
          <w:szCs w:val="18"/>
        </w:rPr>
        <w:t xml:space="preserve"> </w:t>
      </w:r>
      <w:r w:rsidR="00B93016" w:rsidRPr="005F7BF9">
        <w:rPr>
          <w:rFonts w:cstheme="minorHAnsi"/>
          <w:sz w:val="18"/>
          <w:szCs w:val="18"/>
        </w:rPr>
        <w:t xml:space="preserve">Quarantaine : </w:t>
      </w:r>
      <w:r w:rsidRPr="005F7BF9">
        <w:rPr>
          <w:rFonts w:eastAsia="Times New Roman" w:cstheme="minorHAnsi"/>
          <w:sz w:val="18"/>
          <w:szCs w:val="18"/>
          <w:lang w:eastAsia="fr-BE"/>
        </w:rPr>
        <w:t>vous êtes préventivement écarté(e) pour limiter une potentielle propagation de la Covid-19</w:t>
      </w:r>
      <w:r w:rsidR="00B93016" w:rsidRPr="005F7BF9">
        <w:rPr>
          <w:rFonts w:eastAsia="Times New Roman" w:cstheme="minorHAnsi"/>
          <w:sz w:val="18"/>
          <w:szCs w:val="18"/>
          <w:lang w:eastAsia="fr-BE"/>
        </w:rPr>
        <w:t>.</w:t>
      </w:r>
    </w:p>
  </w:footnote>
  <w:footnote w:id="3">
    <w:p w14:paraId="13D0D2D7" w14:textId="7DF1CE0C" w:rsidR="006C5A9A" w:rsidRPr="005F7BF9" w:rsidRDefault="006C5A9A">
      <w:pPr>
        <w:pStyle w:val="Notedebasdepage"/>
        <w:rPr>
          <w:rFonts w:cstheme="minorHAnsi"/>
          <w:sz w:val="18"/>
          <w:szCs w:val="18"/>
        </w:rPr>
      </w:pPr>
      <w:r w:rsidRPr="005F7BF9">
        <w:rPr>
          <w:rStyle w:val="Appelnotedebasdep"/>
          <w:rFonts w:cstheme="minorHAnsi"/>
          <w:sz w:val="18"/>
          <w:szCs w:val="18"/>
        </w:rPr>
        <w:footnoteRef/>
      </w:r>
      <w:r w:rsidRPr="005F7BF9">
        <w:rPr>
          <w:rFonts w:cstheme="minorHAnsi"/>
          <w:sz w:val="18"/>
          <w:szCs w:val="18"/>
        </w:rPr>
        <w:t xml:space="preserve"> </w:t>
      </w:r>
      <w:r w:rsidR="00B93016" w:rsidRPr="005F7BF9">
        <w:rPr>
          <w:rFonts w:cstheme="minorHAnsi"/>
          <w:sz w:val="18"/>
          <w:szCs w:val="18"/>
        </w:rPr>
        <w:t xml:space="preserve">Mesures préventives : </w:t>
      </w:r>
      <w:r w:rsidR="00B93016" w:rsidRPr="005F7BF9">
        <w:rPr>
          <w:rFonts w:eastAsia="Times New Roman" w:cstheme="minorHAnsi"/>
          <w:sz w:val="18"/>
          <w:szCs w:val="18"/>
          <w:lang w:eastAsia="fr-BE"/>
        </w:rPr>
        <w:t>m</w:t>
      </w:r>
      <w:r w:rsidRPr="005F7BF9">
        <w:rPr>
          <w:rFonts w:eastAsia="Times New Roman" w:cstheme="minorHAnsi"/>
          <w:sz w:val="18"/>
          <w:szCs w:val="18"/>
          <w:lang w:eastAsia="fr-BE"/>
        </w:rPr>
        <w:t>asque buccal (de préférence FFP2), distance, pas de contacts avec les personnes vulnérables, etc.</w:t>
      </w:r>
    </w:p>
  </w:footnote>
  <w:footnote w:id="4">
    <w:p w14:paraId="335E4772" w14:textId="42B7578F" w:rsidR="00B93016" w:rsidRPr="005F7BF9" w:rsidRDefault="00B93016">
      <w:pPr>
        <w:pStyle w:val="Notedebasdepage"/>
        <w:rPr>
          <w:rFonts w:cstheme="minorHAnsi"/>
          <w:sz w:val="18"/>
          <w:szCs w:val="18"/>
        </w:rPr>
      </w:pPr>
      <w:r w:rsidRPr="005F7BF9">
        <w:rPr>
          <w:rStyle w:val="Appelnotedebasdep"/>
          <w:rFonts w:cstheme="minorHAnsi"/>
          <w:sz w:val="18"/>
          <w:szCs w:val="18"/>
        </w:rPr>
        <w:footnoteRef/>
      </w:r>
      <w:r w:rsidRPr="005F7BF9">
        <w:rPr>
          <w:rFonts w:cstheme="minorHAnsi"/>
          <w:sz w:val="18"/>
          <w:szCs w:val="18"/>
        </w:rPr>
        <w:t xml:space="preserve"> Isolation</w:t>
      </w:r>
      <w:r w:rsidR="00CE5236" w:rsidRPr="005F7BF9">
        <w:rPr>
          <w:rFonts w:cstheme="minorHAnsi"/>
          <w:sz w:val="18"/>
          <w:szCs w:val="18"/>
        </w:rPr>
        <w:t xml:space="preserve"> (ou isolement)</w:t>
      </w:r>
      <w:r w:rsidRPr="005F7BF9">
        <w:rPr>
          <w:rFonts w:cstheme="minorHAnsi"/>
          <w:sz w:val="18"/>
          <w:szCs w:val="18"/>
        </w:rPr>
        <w:t xml:space="preserve"> : </w:t>
      </w:r>
      <w:r w:rsidRPr="005F7BF9">
        <w:rPr>
          <w:rFonts w:eastAsia="Times New Roman" w:cstheme="minorHAnsi"/>
          <w:sz w:val="18"/>
          <w:szCs w:val="18"/>
          <w:lang w:eastAsia="fr-BE"/>
        </w:rPr>
        <w:t>vous devez rester à la maison parce que vous êtes malade ou avez été testé(e) positif(</w:t>
      </w:r>
      <w:proofErr w:type="spellStart"/>
      <w:r w:rsidRPr="005F7BF9">
        <w:rPr>
          <w:rFonts w:eastAsia="Times New Roman" w:cstheme="minorHAnsi"/>
          <w:sz w:val="18"/>
          <w:szCs w:val="18"/>
          <w:lang w:eastAsia="fr-BE"/>
        </w:rPr>
        <w:t>ve</w:t>
      </w:r>
      <w:proofErr w:type="spellEnd"/>
      <w:r w:rsidRPr="005F7BF9">
        <w:rPr>
          <w:rFonts w:eastAsia="Times New Roman" w:cstheme="minorHAnsi"/>
          <w:sz w:val="18"/>
          <w:szCs w:val="18"/>
          <w:lang w:eastAsia="fr-BE"/>
        </w:rPr>
        <w:t>) au coronavirus.</w:t>
      </w:r>
    </w:p>
  </w:footnote>
  <w:footnote w:id="5">
    <w:p w14:paraId="3D2DD9AC" w14:textId="43A198F1" w:rsidR="00FF3BBB" w:rsidRPr="005F7BF9" w:rsidRDefault="00FF3BBB">
      <w:pPr>
        <w:pStyle w:val="Notedebasdepage"/>
        <w:rPr>
          <w:rFonts w:cstheme="minorHAnsi"/>
          <w:sz w:val="18"/>
          <w:szCs w:val="18"/>
        </w:rPr>
      </w:pPr>
      <w:r w:rsidRPr="005F7BF9">
        <w:rPr>
          <w:rStyle w:val="Appelnotedebasdep"/>
          <w:rFonts w:cstheme="minorHAnsi"/>
          <w:sz w:val="18"/>
          <w:szCs w:val="18"/>
        </w:rPr>
        <w:footnoteRef/>
      </w:r>
      <w:r w:rsidRPr="005F7BF9">
        <w:rPr>
          <w:rFonts w:cstheme="minorHAnsi"/>
          <w:sz w:val="18"/>
          <w:szCs w:val="18"/>
        </w:rPr>
        <w:t xml:space="preserve"> Mesures de protection : </w:t>
      </w:r>
      <w:r w:rsidRPr="005F7BF9">
        <w:rPr>
          <w:rFonts w:eastAsia="Times New Roman" w:cstheme="minorHAnsi"/>
          <w:sz w:val="18"/>
          <w:szCs w:val="18"/>
          <w:lang w:eastAsia="fr-BE"/>
        </w:rPr>
        <w:t xml:space="preserve">limitation du nombre de contacts au strict nécessaire, port permanent d'un masque (de préférence FFP2) dans une zone intérieure. </w:t>
      </w:r>
      <w:r w:rsidR="0071605D" w:rsidRPr="005F7BF9">
        <w:rPr>
          <w:rFonts w:eastAsia="Times New Roman" w:cstheme="minorHAnsi"/>
          <w:sz w:val="18"/>
          <w:szCs w:val="18"/>
          <w:lang w:eastAsia="fr-BE"/>
        </w:rPr>
        <w:t>L</w:t>
      </w:r>
      <w:r w:rsidRPr="005F7BF9">
        <w:rPr>
          <w:rFonts w:eastAsia="Times New Roman" w:cstheme="minorHAnsi"/>
          <w:sz w:val="18"/>
          <w:szCs w:val="18"/>
          <w:lang w:eastAsia="fr-BE"/>
        </w:rPr>
        <w:t>es activités pour lesquelles il est impossible de porter un masque (telles que manger avec d'autres personnes) ne sont pas autorisées.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0AFA" w14:textId="619B7F07" w:rsidR="00021A6E" w:rsidRDefault="00D342EC" w:rsidP="00021A6E">
    <w:pPr>
      <w:pStyle w:val="En-tte"/>
      <w:pBdr>
        <w:bottom w:val="single" w:sz="4" w:space="1" w:color="auto"/>
      </w:pBdr>
      <w:rPr>
        <w:rFonts w:ascii="Arial" w:hAnsi="Arial" w:cs="Arial"/>
        <w:b/>
        <w:bCs/>
      </w:rPr>
    </w:pPr>
    <w:r w:rsidRPr="00D342EC">
      <w:rPr>
        <w:rFonts w:ascii="Arial" w:hAnsi="Arial" w:cs="Arial"/>
        <w:b/>
        <w:bCs/>
      </w:rPr>
      <w:t>Services du Gouverneur de la province Liège</w:t>
    </w:r>
  </w:p>
  <w:p w14:paraId="25652302" w14:textId="77777777" w:rsidR="00021A6E" w:rsidRPr="00021A6E" w:rsidRDefault="00021A6E" w:rsidP="00021A6E">
    <w:pPr>
      <w:pStyle w:val="En-tte"/>
      <w:rPr>
        <w:rFonts w:ascii="Arial" w:hAnsi="Arial" w:cs="Arial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A8A"/>
    <w:multiLevelType w:val="hybridMultilevel"/>
    <w:tmpl w:val="788619D4"/>
    <w:lvl w:ilvl="0" w:tplc="6F323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82E"/>
    <w:multiLevelType w:val="hybridMultilevel"/>
    <w:tmpl w:val="E8220A68"/>
    <w:lvl w:ilvl="0" w:tplc="D3EEF6D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6CAF"/>
    <w:multiLevelType w:val="hybridMultilevel"/>
    <w:tmpl w:val="3DA0A9E0"/>
    <w:lvl w:ilvl="0" w:tplc="D132F2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055"/>
    <w:multiLevelType w:val="hybridMultilevel"/>
    <w:tmpl w:val="96E443D8"/>
    <w:lvl w:ilvl="0" w:tplc="6826FD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17B3F"/>
    <w:multiLevelType w:val="hybridMultilevel"/>
    <w:tmpl w:val="A9F48956"/>
    <w:lvl w:ilvl="0" w:tplc="354AE8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377D0"/>
    <w:multiLevelType w:val="hybridMultilevel"/>
    <w:tmpl w:val="81A87BD2"/>
    <w:lvl w:ilvl="0" w:tplc="9A1E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01AD3"/>
    <w:multiLevelType w:val="hybridMultilevel"/>
    <w:tmpl w:val="FC0C0B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8367D"/>
    <w:multiLevelType w:val="hybridMultilevel"/>
    <w:tmpl w:val="EF40FB80"/>
    <w:lvl w:ilvl="0" w:tplc="CC3CBCB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701E9"/>
    <w:multiLevelType w:val="hybridMultilevel"/>
    <w:tmpl w:val="D57C8A74"/>
    <w:lvl w:ilvl="0" w:tplc="5CC8F95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AA"/>
    <w:rsid w:val="00021A6E"/>
    <w:rsid w:val="00087D5C"/>
    <w:rsid w:val="00095313"/>
    <w:rsid w:val="00114267"/>
    <w:rsid w:val="002B19F1"/>
    <w:rsid w:val="0046228B"/>
    <w:rsid w:val="004C1288"/>
    <w:rsid w:val="005757BE"/>
    <w:rsid w:val="005F6ED4"/>
    <w:rsid w:val="005F7BF9"/>
    <w:rsid w:val="00694247"/>
    <w:rsid w:val="006C5A9A"/>
    <w:rsid w:val="00713CFA"/>
    <w:rsid w:val="0071605D"/>
    <w:rsid w:val="00757EAA"/>
    <w:rsid w:val="0094172B"/>
    <w:rsid w:val="00A12287"/>
    <w:rsid w:val="00A17DFB"/>
    <w:rsid w:val="00A36B68"/>
    <w:rsid w:val="00A85677"/>
    <w:rsid w:val="00B87AB9"/>
    <w:rsid w:val="00B93016"/>
    <w:rsid w:val="00CA493E"/>
    <w:rsid w:val="00CE5236"/>
    <w:rsid w:val="00D342EC"/>
    <w:rsid w:val="00DF0119"/>
    <w:rsid w:val="00E72C7A"/>
    <w:rsid w:val="00EE0D45"/>
    <w:rsid w:val="00FB509C"/>
    <w:rsid w:val="00F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61A2F"/>
  <w15:chartTrackingRefBased/>
  <w15:docId w15:val="{1B4DB9EB-16A4-4937-8280-36C1FFD9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172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49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49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493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6228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24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3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2EC"/>
  </w:style>
  <w:style w:type="paragraph" w:styleId="Pieddepage">
    <w:name w:val="footer"/>
    <w:basedOn w:val="Normal"/>
    <w:link w:val="PieddepageCar"/>
    <w:uiPriority w:val="99"/>
    <w:unhideWhenUsed/>
    <w:rsid w:val="00D3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vid-19.sciensano.be/fr/procedures/exceptions-la-quarantain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-19.sciensano.be/fr/procedures/isol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C247-6AC7-4245-9247-E83B197B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hosmans</dc:creator>
  <cp:keywords/>
  <dc:description/>
  <cp:lastModifiedBy>Lelotte, Michel</cp:lastModifiedBy>
  <cp:revision>2</cp:revision>
  <cp:lastPrinted>2022-01-09T10:20:00Z</cp:lastPrinted>
  <dcterms:created xsi:type="dcterms:W3CDTF">2022-01-11T10:11:00Z</dcterms:created>
  <dcterms:modified xsi:type="dcterms:W3CDTF">2022-01-11T10:11:00Z</dcterms:modified>
</cp:coreProperties>
</file>